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CB1C5" w14:textId="35267061" w:rsidR="00FC2E5A" w:rsidRDefault="00FC2E5A">
      <w:pPr>
        <w:pStyle w:val="Heading3"/>
        <w:keepNext w:val="0"/>
        <w:rPr>
          <w:sz w:val="22"/>
        </w:rPr>
      </w:pPr>
      <w:r>
        <w:rPr>
          <w:sz w:val="22"/>
        </w:rPr>
        <w:t>AGREEMENT NO. DH</w:t>
      </w:r>
      <w:r w:rsidR="00CA30A7">
        <w:rPr>
          <w:sz w:val="22"/>
        </w:rPr>
        <w:t>SH</w:t>
      </w:r>
      <w:r w:rsidR="00CB2E0E">
        <w:rPr>
          <w:sz w:val="22"/>
        </w:rPr>
        <w:t>-</w:t>
      </w:r>
      <w:r w:rsidR="00DB04C9" w:rsidRPr="00DB04C9">
        <w:rPr>
          <w:sz w:val="22"/>
          <w:highlight w:val="yellow"/>
        </w:rPr>
        <w:t>XXXXXX</w:t>
      </w:r>
    </w:p>
    <w:p w14:paraId="685CC6B4" w14:textId="77777777" w:rsidR="00FC2E5A" w:rsidRPr="00DD1F91" w:rsidRDefault="00FC2E5A">
      <w:pPr>
        <w:tabs>
          <w:tab w:val="left" w:pos="-720"/>
        </w:tabs>
        <w:suppressAutoHyphens/>
        <w:jc w:val="both"/>
        <w:rPr>
          <w:spacing w:val="-3"/>
          <w:sz w:val="22"/>
          <w:szCs w:val="22"/>
        </w:rPr>
      </w:pPr>
    </w:p>
    <w:p w14:paraId="4A3FD636" w14:textId="77777777" w:rsidR="00FC2E5A" w:rsidRPr="00DD1F91" w:rsidRDefault="00972931">
      <w:pPr>
        <w:tabs>
          <w:tab w:val="center" w:pos="5040"/>
        </w:tabs>
        <w:suppressAutoHyphens/>
        <w:jc w:val="center"/>
        <w:rPr>
          <w:b/>
          <w:spacing w:val="-3"/>
          <w:sz w:val="22"/>
          <w:szCs w:val="22"/>
        </w:rPr>
      </w:pPr>
      <w:r w:rsidRPr="00DD1F91">
        <w:rPr>
          <w:b/>
          <w:spacing w:val="-3"/>
          <w:sz w:val="22"/>
          <w:szCs w:val="22"/>
        </w:rPr>
        <w:t>EXHIBIT "</w:t>
      </w:r>
      <w:r w:rsidR="00DB04C9">
        <w:rPr>
          <w:b/>
          <w:spacing w:val="-3"/>
          <w:sz w:val="22"/>
          <w:szCs w:val="22"/>
        </w:rPr>
        <w:t>G</w:t>
      </w:r>
      <w:r w:rsidR="00FC2E5A" w:rsidRPr="00DD1F91">
        <w:rPr>
          <w:b/>
          <w:spacing w:val="-3"/>
          <w:sz w:val="22"/>
          <w:szCs w:val="22"/>
        </w:rPr>
        <w:t>” Agreement</w:t>
      </w:r>
    </w:p>
    <w:p w14:paraId="0E09A1E6" w14:textId="77777777" w:rsidR="00FC2E5A" w:rsidRPr="00DD1F91" w:rsidRDefault="00FC2E5A">
      <w:pPr>
        <w:tabs>
          <w:tab w:val="center" w:pos="5040"/>
        </w:tabs>
        <w:suppressAutoHyphens/>
        <w:jc w:val="center"/>
        <w:rPr>
          <w:b/>
          <w:spacing w:val="-3"/>
          <w:sz w:val="22"/>
          <w:szCs w:val="22"/>
        </w:rPr>
      </w:pPr>
      <w:r w:rsidRPr="00DD1F91">
        <w:rPr>
          <w:b/>
          <w:spacing w:val="-3"/>
          <w:sz w:val="22"/>
          <w:szCs w:val="22"/>
        </w:rPr>
        <w:t xml:space="preserve">between the </w:t>
      </w:r>
      <w:r w:rsidR="000462F7" w:rsidRPr="000462F7">
        <w:rPr>
          <w:b/>
          <w:spacing w:val="-3"/>
          <w:sz w:val="22"/>
          <w:szCs w:val="22"/>
        </w:rPr>
        <w:t>COUNTY OF SACRAMENTO</w:t>
      </w:r>
      <w:r w:rsidRPr="00DD1F91">
        <w:rPr>
          <w:b/>
          <w:spacing w:val="-3"/>
          <w:sz w:val="22"/>
          <w:szCs w:val="22"/>
        </w:rPr>
        <w:t>,</w:t>
      </w:r>
    </w:p>
    <w:p w14:paraId="2294A496" w14:textId="77777777" w:rsidR="00FC2E5A" w:rsidRPr="00DD1F91" w:rsidRDefault="00FC2E5A">
      <w:pPr>
        <w:tabs>
          <w:tab w:val="center" w:pos="5040"/>
        </w:tabs>
        <w:suppressAutoHyphens/>
        <w:jc w:val="center"/>
        <w:rPr>
          <w:b/>
          <w:spacing w:val="-3"/>
          <w:sz w:val="22"/>
          <w:szCs w:val="22"/>
        </w:rPr>
      </w:pPr>
      <w:r w:rsidRPr="00DD1F91">
        <w:rPr>
          <w:b/>
          <w:spacing w:val="-3"/>
          <w:sz w:val="22"/>
          <w:szCs w:val="22"/>
        </w:rPr>
        <w:t>hereinafter referred to as "COUNTY", and</w:t>
      </w:r>
    </w:p>
    <w:p w14:paraId="3B7AD287" w14:textId="77777777" w:rsidR="00FC2E5A" w:rsidRPr="00DD1F91" w:rsidRDefault="00DB04C9">
      <w:pPr>
        <w:tabs>
          <w:tab w:val="center" w:pos="5040"/>
        </w:tabs>
        <w:suppressAutoHyphens/>
        <w:jc w:val="center"/>
        <w:rPr>
          <w:b/>
          <w:spacing w:val="-3"/>
          <w:sz w:val="22"/>
          <w:szCs w:val="22"/>
        </w:rPr>
      </w:pPr>
      <w:r w:rsidRPr="00DB04C9">
        <w:rPr>
          <w:sz w:val="22"/>
          <w:highlight w:val="yellow"/>
        </w:rPr>
        <w:t>XXXXXX</w:t>
      </w:r>
      <w:r w:rsidR="00FC2E5A" w:rsidRPr="00DD1F91">
        <w:rPr>
          <w:b/>
          <w:sz w:val="22"/>
          <w:szCs w:val="22"/>
        </w:rPr>
        <w:t>,</w:t>
      </w:r>
    </w:p>
    <w:p w14:paraId="71EB5C2F" w14:textId="77777777" w:rsidR="00FC2E5A" w:rsidRPr="00DD1F91" w:rsidRDefault="00FC2E5A">
      <w:pPr>
        <w:tabs>
          <w:tab w:val="center" w:pos="5040"/>
        </w:tabs>
        <w:suppressAutoHyphens/>
        <w:jc w:val="center"/>
        <w:rPr>
          <w:spacing w:val="-3"/>
          <w:sz w:val="22"/>
          <w:szCs w:val="22"/>
        </w:rPr>
      </w:pPr>
      <w:r w:rsidRPr="00DD1F91">
        <w:rPr>
          <w:b/>
          <w:spacing w:val="-3"/>
          <w:sz w:val="22"/>
          <w:szCs w:val="22"/>
        </w:rPr>
        <w:t>hereinafter referred to as "CONTRACTOR"</w:t>
      </w:r>
    </w:p>
    <w:p w14:paraId="6D3C5A6D" w14:textId="77777777" w:rsidR="00FC2E5A" w:rsidRPr="00DD1F91" w:rsidRDefault="00FC2E5A">
      <w:pPr>
        <w:pStyle w:val="Heading1"/>
        <w:jc w:val="center"/>
        <w:rPr>
          <w:sz w:val="22"/>
          <w:szCs w:val="22"/>
        </w:rPr>
      </w:pPr>
    </w:p>
    <w:p w14:paraId="3F660268" w14:textId="77777777" w:rsidR="00FC2E5A" w:rsidRPr="00DD1F91" w:rsidRDefault="00FC2E5A">
      <w:pPr>
        <w:pStyle w:val="Heading1"/>
        <w:jc w:val="center"/>
        <w:rPr>
          <w:sz w:val="22"/>
          <w:szCs w:val="22"/>
        </w:rPr>
      </w:pPr>
      <w:r w:rsidRPr="00DD1F91">
        <w:rPr>
          <w:sz w:val="22"/>
          <w:szCs w:val="22"/>
        </w:rPr>
        <w:t>CHARITABLE CHOICE</w:t>
      </w:r>
    </w:p>
    <w:p w14:paraId="47771E88" w14:textId="77777777" w:rsidR="00FC2E5A" w:rsidRPr="00DD1F91" w:rsidRDefault="00FC2E5A">
      <w:pPr>
        <w:rPr>
          <w:sz w:val="22"/>
          <w:szCs w:val="22"/>
        </w:rPr>
      </w:pPr>
    </w:p>
    <w:p w14:paraId="3FDB1D93" w14:textId="77777777" w:rsidR="00FC2E5A" w:rsidRPr="00DD1F91" w:rsidRDefault="00FC2E5A">
      <w:pPr>
        <w:pStyle w:val="BodyText"/>
        <w:rPr>
          <w:sz w:val="22"/>
          <w:szCs w:val="22"/>
        </w:rPr>
      </w:pPr>
      <w:r w:rsidRPr="00DD1F91">
        <w:rPr>
          <w:sz w:val="22"/>
          <w:szCs w:val="22"/>
        </w:rPr>
        <w:t>CONTRACTOR certifies that if it identifies as a faith-based religious organization, and receives direct funding from one of the following funding sources:</w:t>
      </w:r>
    </w:p>
    <w:p w14:paraId="540A65E5" w14:textId="77777777" w:rsidR="00FC2E5A" w:rsidRPr="00DD1F91" w:rsidRDefault="00FC2E5A">
      <w:pPr>
        <w:pStyle w:val="BodyText"/>
        <w:numPr>
          <w:ilvl w:val="0"/>
          <w:numId w:val="2"/>
        </w:numPr>
        <w:tabs>
          <w:tab w:val="clear" w:pos="720"/>
          <w:tab w:val="num" w:pos="360"/>
        </w:tabs>
        <w:ind w:left="360"/>
        <w:rPr>
          <w:sz w:val="22"/>
          <w:szCs w:val="22"/>
        </w:rPr>
      </w:pPr>
      <w:r w:rsidRPr="00DD1F91">
        <w:rPr>
          <w:sz w:val="22"/>
          <w:szCs w:val="22"/>
        </w:rPr>
        <w:t xml:space="preserve">Substance abuse prevention and treatment services under the Substance Abuse Prevention and Treatment Block Grant (SAPT); </w:t>
      </w:r>
    </w:p>
    <w:p w14:paraId="2DF3E5B3" w14:textId="77777777" w:rsidR="00FC2E5A" w:rsidRPr="00DD1F91" w:rsidRDefault="00FC2E5A">
      <w:pPr>
        <w:pStyle w:val="BodyText"/>
        <w:numPr>
          <w:ilvl w:val="0"/>
          <w:numId w:val="2"/>
        </w:numPr>
        <w:tabs>
          <w:tab w:val="clear" w:pos="720"/>
          <w:tab w:val="num" w:pos="360"/>
        </w:tabs>
        <w:ind w:hanging="720"/>
        <w:rPr>
          <w:sz w:val="22"/>
          <w:szCs w:val="22"/>
        </w:rPr>
      </w:pPr>
      <w:r w:rsidRPr="00DD1F91">
        <w:rPr>
          <w:sz w:val="22"/>
          <w:szCs w:val="22"/>
        </w:rPr>
        <w:t>The Projects for Assistance in Transition from Homelessness (PATH) formula grant program;</w:t>
      </w:r>
    </w:p>
    <w:p w14:paraId="00BFBFE6" w14:textId="77777777" w:rsidR="00FC2E5A" w:rsidRPr="00DD1F91" w:rsidRDefault="00FC2E5A">
      <w:pPr>
        <w:pStyle w:val="BodyText"/>
        <w:numPr>
          <w:ilvl w:val="0"/>
          <w:numId w:val="2"/>
        </w:numPr>
        <w:tabs>
          <w:tab w:val="clear" w:pos="720"/>
          <w:tab w:val="num" w:pos="360"/>
        </w:tabs>
        <w:ind w:hanging="720"/>
        <w:rPr>
          <w:sz w:val="22"/>
          <w:szCs w:val="22"/>
        </w:rPr>
      </w:pPr>
      <w:r w:rsidRPr="00DD1F91">
        <w:rPr>
          <w:sz w:val="22"/>
          <w:szCs w:val="22"/>
        </w:rPr>
        <w:t xml:space="preserve"> Substance Abuse and Mental Health Services Administration (SAMSHA) discretionary grants; or</w:t>
      </w:r>
    </w:p>
    <w:p w14:paraId="5731930D" w14:textId="77777777" w:rsidR="00FC2E5A" w:rsidRPr="00DD1F91" w:rsidRDefault="00FC2E5A">
      <w:pPr>
        <w:pStyle w:val="BodyText"/>
        <w:numPr>
          <w:ilvl w:val="0"/>
          <w:numId w:val="2"/>
        </w:numPr>
        <w:tabs>
          <w:tab w:val="clear" w:pos="720"/>
          <w:tab w:val="num" w:pos="360"/>
        </w:tabs>
        <w:ind w:left="360"/>
        <w:rPr>
          <w:sz w:val="22"/>
          <w:szCs w:val="22"/>
        </w:rPr>
      </w:pPr>
      <w:r w:rsidRPr="00DD1F91">
        <w:rPr>
          <w:sz w:val="22"/>
          <w:szCs w:val="22"/>
        </w:rPr>
        <w:t>General Temporary Assistance for Needy Families (TANF), that</w:t>
      </w:r>
      <w:r w:rsidR="003D48FC" w:rsidRPr="00DD1F91">
        <w:rPr>
          <w:sz w:val="22"/>
          <w:szCs w:val="22"/>
        </w:rPr>
        <w:t>:</w:t>
      </w:r>
    </w:p>
    <w:p w14:paraId="23E331EB" w14:textId="77777777" w:rsidR="00FC2E5A" w:rsidRPr="00DD1F91" w:rsidRDefault="00FC2E5A">
      <w:pPr>
        <w:jc w:val="both"/>
        <w:rPr>
          <w:sz w:val="22"/>
          <w:szCs w:val="22"/>
        </w:rPr>
      </w:pPr>
    </w:p>
    <w:p w14:paraId="5DFEBB4B" w14:textId="77777777" w:rsidR="00FC2E5A" w:rsidRPr="00DD1F91" w:rsidRDefault="00FC2E5A">
      <w:pPr>
        <w:numPr>
          <w:ilvl w:val="0"/>
          <w:numId w:val="1"/>
        </w:numPr>
        <w:jc w:val="both"/>
        <w:rPr>
          <w:sz w:val="22"/>
          <w:szCs w:val="22"/>
        </w:rPr>
      </w:pPr>
      <w:r w:rsidRPr="00DD1F91">
        <w:rPr>
          <w:sz w:val="22"/>
          <w:szCs w:val="22"/>
        </w:rPr>
        <w:t>CONTRACTOR shall adhere to the requirements contained in Title 42, Code of Federal Regulations (CFR) Part 54; or Title 45, Code of Federal Regulations (CFR) Part 260, whichever applies to this Agreement.</w:t>
      </w:r>
    </w:p>
    <w:p w14:paraId="10640B8F" w14:textId="77777777" w:rsidR="00FC2E5A" w:rsidRPr="00DD1F91" w:rsidRDefault="00FC2E5A">
      <w:pPr>
        <w:ind w:left="360"/>
        <w:jc w:val="both"/>
        <w:rPr>
          <w:sz w:val="22"/>
          <w:szCs w:val="22"/>
        </w:rPr>
      </w:pPr>
    </w:p>
    <w:p w14:paraId="691C2239" w14:textId="77777777" w:rsidR="00FC2E5A" w:rsidRPr="00DD1F91" w:rsidRDefault="00FC2E5A">
      <w:pPr>
        <w:numPr>
          <w:ilvl w:val="0"/>
          <w:numId w:val="1"/>
        </w:numPr>
        <w:jc w:val="both"/>
        <w:rPr>
          <w:sz w:val="22"/>
          <w:szCs w:val="22"/>
        </w:rPr>
      </w:pPr>
      <w:r w:rsidRPr="00DD1F91">
        <w:rPr>
          <w:sz w:val="22"/>
          <w:szCs w:val="22"/>
        </w:rPr>
        <w:t xml:space="preserve">CONTRACTOR’s services shall be provided in a manner consistent with the Establishment Clause and the Free Exercise Clause of the First Amendment of the United States Constitution.  </w:t>
      </w:r>
    </w:p>
    <w:p w14:paraId="7759C42A" w14:textId="77777777" w:rsidR="00FC2E5A" w:rsidRPr="00DD1F91" w:rsidRDefault="00FC2E5A">
      <w:pPr>
        <w:ind w:left="360"/>
        <w:jc w:val="both"/>
        <w:rPr>
          <w:sz w:val="22"/>
          <w:szCs w:val="22"/>
        </w:rPr>
      </w:pPr>
    </w:p>
    <w:p w14:paraId="49C768D5" w14:textId="77777777" w:rsidR="00FC2E5A" w:rsidRPr="00DD1F91" w:rsidRDefault="00FC2E5A">
      <w:pPr>
        <w:numPr>
          <w:ilvl w:val="0"/>
          <w:numId w:val="1"/>
        </w:numPr>
        <w:jc w:val="both"/>
        <w:rPr>
          <w:sz w:val="22"/>
          <w:szCs w:val="22"/>
        </w:rPr>
      </w:pPr>
      <w:r w:rsidRPr="00DD1F91">
        <w:rPr>
          <w:sz w:val="22"/>
          <w:szCs w:val="22"/>
        </w:rPr>
        <w:t xml:space="preserve">If CONTRACTOR offers inherently religious activities, they shall be provided separately, in time or location, from the programs or services for which the organization receives funds from Federal, State or local government sources.  Participation in religious activities must be voluntary for program beneficiaries (42 CFR Part 54.4) and (45 CFR Part 260(b)(2).  </w:t>
      </w:r>
    </w:p>
    <w:p w14:paraId="020D8AAD" w14:textId="77777777" w:rsidR="00FC2E5A" w:rsidRPr="00DD1F91" w:rsidRDefault="00FC2E5A">
      <w:pPr>
        <w:ind w:left="360"/>
        <w:jc w:val="both"/>
        <w:rPr>
          <w:sz w:val="22"/>
          <w:szCs w:val="22"/>
        </w:rPr>
      </w:pPr>
    </w:p>
    <w:p w14:paraId="5C8DB369" w14:textId="77777777" w:rsidR="00FC2E5A" w:rsidRPr="00DD1F91" w:rsidRDefault="00FC2E5A">
      <w:pPr>
        <w:numPr>
          <w:ilvl w:val="0"/>
          <w:numId w:val="1"/>
        </w:numPr>
        <w:jc w:val="both"/>
        <w:rPr>
          <w:sz w:val="22"/>
          <w:szCs w:val="22"/>
        </w:rPr>
      </w:pPr>
      <w:r w:rsidRPr="00DD1F91">
        <w:rPr>
          <w:sz w:val="22"/>
          <w:szCs w:val="22"/>
        </w:rPr>
        <w:t>CONTRACTOR shall not expend any Federal, State or local government funds to support any inherently religious activities such as worship, religious instruction, or proselytization (42 CFR Part 54.5) and (45 CFR Part 260(c).</w:t>
      </w:r>
    </w:p>
    <w:p w14:paraId="4328B590" w14:textId="77777777" w:rsidR="00FC2E5A" w:rsidRPr="00DD1F91" w:rsidRDefault="00FC2E5A">
      <w:pPr>
        <w:jc w:val="both"/>
        <w:rPr>
          <w:sz w:val="22"/>
          <w:szCs w:val="22"/>
        </w:rPr>
      </w:pPr>
    </w:p>
    <w:p w14:paraId="0BCA2DCE" w14:textId="77777777" w:rsidR="00FC2E5A" w:rsidRPr="00DD1F91" w:rsidRDefault="00FC2E5A">
      <w:pPr>
        <w:numPr>
          <w:ilvl w:val="0"/>
          <w:numId w:val="1"/>
        </w:numPr>
        <w:jc w:val="both"/>
        <w:rPr>
          <w:sz w:val="22"/>
          <w:szCs w:val="22"/>
        </w:rPr>
      </w:pPr>
      <w:r w:rsidRPr="00DD1F91">
        <w:rPr>
          <w:sz w:val="22"/>
          <w:szCs w:val="22"/>
        </w:rPr>
        <w:t>CONTRACTOR shall not, in providing program services or engaging in outreach activities under applicable programs, discriminate against a program beneficiary or prospective program beneficiary on the basis of religion, a religious belief, a refusal to hold a religious belief, or a refusal to actively participate in a religious practice (42CFR Part 54.7) and (45 CFR Part 260(f).</w:t>
      </w:r>
    </w:p>
    <w:p w14:paraId="664BFF2A" w14:textId="77777777" w:rsidR="00FC2E5A" w:rsidRPr="00DD1F91" w:rsidRDefault="00FC2E5A">
      <w:pPr>
        <w:jc w:val="both"/>
        <w:rPr>
          <w:sz w:val="22"/>
          <w:szCs w:val="22"/>
        </w:rPr>
      </w:pPr>
    </w:p>
    <w:p w14:paraId="0C88EB77" w14:textId="77777777" w:rsidR="00FC2E5A" w:rsidRPr="00DD1F91" w:rsidRDefault="00FC2E5A">
      <w:pPr>
        <w:numPr>
          <w:ilvl w:val="0"/>
          <w:numId w:val="1"/>
        </w:numPr>
        <w:jc w:val="both"/>
        <w:rPr>
          <w:sz w:val="22"/>
          <w:szCs w:val="22"/>
        </w:rPr>
      </w:pPr>
      <w:r w:rsidRPr="00DD1F91">
        <w:rPr>
          <w:sz w:val="22"/>
          <w:szCs w:val="22"/>
        </w:rPr>
        <w:t>CONTRACTOR shall inform program beneficiaries that they may refuse to participate in any religious activities offered by CONTRACTOR;</w:t>
      </w:r>
    </w:p>
    <w:p w14:paraId="7BBDFBB5" w14:textId="77777777" w:rsidR="00FC2E5A" w:rsidRPr="00DD1F91" w:rsidRDefault="00FC2E5A">
      <w:pPr>
        <w:jc w:val="both"/>
        <w:rPr>
          <w:sz w:val="22"/>
          <w:szCs w:val="22"/>
        </w:rPr>
      </w:pPr>
    </w:p>
    <w:p w14:paraId="426E59E5" w14:textId="77777777" w:rsidR="00FC2E5A" w:rsidRPr="00DD1F91" w:rsidRDefault="00FC2E5A">
      <w:pPr>
        <w:numPr>
          <w:ilvl w:val="0"/>
          <w:numId w:val="1"/>
        </w:numPr>
        <w:jc w:val="both"/>
        <w:rPr>
          <w:sz w:val="22"/>
          <w:szCs w:val="22"/>
        </w:rPr>
      </w:pPr>
      <w:r w:rsidRPr="00DD1F91">
        <w:rPr>
          <w:sz w:val="22"/>
          <w:szCs w:val="22"/>
        </w:rPr>
        <w:t>CONTRACTOR shall inform program beneficiaries that, if they object to the religious character of the program, they have the right to a referral to an alternate service provider to which they have no objections (42 CFR Part 54.8) and (45 CFR Part 260(g)(1).</w:t>
      </w:r>
    </w:p>
    <w:p w14:paraId="1E7B8BDF" w14:textId="77777777" w:rsidR="00FC2E5A" w:rsidRPr="00DD1F91" w:rsidRDefault="00FC2E5A">
      <w:pPr>
        <w:jc w:val="both"/>
        <w:rPr>
          <w:sz w:val="22"/>
          <w:szCs w:val="22"/>
        </w:rPr>
      </w:pPr>
    </w:p>
    <w:p w14:paraId="04B1B026" w14:textId="77777777" w:rsidR="00FC2E5A" w:rsidRPr="00DD1F91" w:rsidRDefault="00FC2E5A">
      <w:pPr>
        <w:numPr>
          <w:ilvl w:val="0"/>
          <w:numId w:val="1"/>
        </w:numPr>
        <w:jc w:val="both"/>
        <w:rPr>
          <w:sz w:val="22"/>
          <w:szCs w:val="22"/>
        </w:rPr>
      </w:pPr>
      <w:r w:rsidRPr="00DD1F91">
        <w:rPr>
          <w:sz w:val="22"/>
          <w:szCs w:val="22"/>
        </w:rPr>
        <w:t>CONTRACTOR shall, within a reasonable time of learning of a beneficiary’s objection to the religious character of the program, refer the program beneficiary to an alternate service provider (42 CFR Part 54.8) and (45 CFR Part 260(g)(3).</w:t>
      </w:r>
    </w:p>
    <w:p w14:paraId="2FBF55E2" w14:textId="77777777" w:rsidR="00FC2E5A" w:rsidRPr="00DD1F91" w:rsidRDefault="001E66C5" w:rsidP="001E66C5">
      <w:pPr>
        <w:tabs>
          <w:tab w:val="left" w:pos="8115"/>
        </w:tabs>
        <w:jc w:val="both"/>
        <w:rPr>
          <w:sz w:val="22"/>
          <w:szCs w:val="22"/>
        </w:rPr>
      </w:pPr>
      <w:r>
        <w:rPr>
          <w:sz w:val="22"/>
          <w:szCs w:val="22"/>
        </w:rPr>
        <w:tab/>
      </w:r>
    </w:p>
    <w:p w14:paraId="5A4E7BCB" w14:textId="77777777" w:rsidR="00FC2E5A" w:rsidRPr="00DD1F91" w:rsidRDefault="00FC2E5A">
      <w:pPr>
        <w:pStyle w:val="BodyTextIndent"/>
        <w:rPr>
          <w:sz w:val="22"/>
          <w:szCs w:val="22"/>
        </w:rPr>
      </w:pPr>
      <w:r w:rsidRPr="00DD1F91">
        <w:rPr>
          <w:sz w:val="22"/>
          <w:szCs w:val="22"/>
        </w:rPr>
        <w:t>If 42 U.S.C. 2000e-1 regarding employment practices is applicable to this Agreement, it shall supersede 42 CFR Part 54.7 to the extent that 42 CFR Part 54.7 conflicts with 42 U.S.C. 2000e-1.</w:t>
      </w:r>
    </w:p>
    <w:p w14:paraId="0FEFF989" w14:textId="77777777" w:rsidR="00FC2E5A" w:rsidRPr="00DD1F91" w:rsidRDefault="00FC2E5A">
      <w:pPr>
        <w:rPr>
          <w:sz w:val="22"/>
          <w:szCs w:val="22"/>
        </w:rPr>
      </w:pPr>
    </w:p>
    <w:sectPr w:rsidR="00FC2E5A" w:rsidRPr="00DD1F91">
      <w:footerReference w:type="default" r:id="rId7"/>
      <w:pgSz w:w="12240" w:h="15840"/>
      <w:pgMar w:top="1152"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35518" w14:textId="77777777" w:rsidR="00FC2E5A" w:rsidRDefault="00FC2E5A">
      <w:r>
        <w:separator/>
      </w:r>
    </w:p>
  </w:endnote>
  <w:endnote w:type="continuationSeparator" w:id="0">
    <w:p w14:paraId="646B656A" w14:textId="77777777" w:rsidR="00FC2E5A" w:rsidRDefault="00FC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5F0C4" w14:textId="77777777" w:rsidR="00FC2E5A" w:rsidRPr="001E66C5" w:rsidRDefault="00972931" w:rsidP="001E66C5">
    <w:pPr>
      <w:pStyle w:val="Footer"/>
      <w:tabs>
        <w:tab w:val="clear" w:pos="4320"/>
        <w:tab w:val="clear" w:pos="8640"/>
        <w:tab w:val="left" w:pos="3600"/>
      </w:tabs>
      <w:jc w:val="right"/>
      <w:rPr>
        <w:b/>
        <w:sz w:val="16"/>
      </w:rPr>
    </w:pPr>
    <w:r w:rsidRPr="001E66C5">
      <w:rPr>
        <w:b/>
        <w:sz w:val="16"/>
      </w:rPr>
      <w:t>EXHIBIT “</w:t>
    </w:r>
    <w:r w:rsidR="009C7D10" w:rsidRPr="001E66C5">
      <w:rPr>
        <w:b/>
        <w:sz w:val="16"/>
      </w:rPr>
      <w:t>G</w:t>
    </w:r>
    <w:r w:rsidR="00FC2E5A" w:rsidRPr="001E66C5">
      <w:rPr>
        <w:b/>
        <w:sz w:val="16"/>
      </w:rPr>
      <w:t>”</w:t>
    </w:r>
  </w:p>
  <w:p w14:paraId="627265F8" w14:textId="77777777" w:rsidR="00FC2E5A" w:rsidRDefault="00FC2E5A" w:rsidP="001E66C5">
    <w:pPr>
      <w:pStyle w:val="Footer"/>
      <w:tabs>
        <w:tab w:val="left" w:pos="3240"/>
      </w:tabs>
      <w:jc w:val="right"/>
      <w:rPr>
        <w:bCs/>
        <w:sz w:val="12"/>
      </w:rPr>
    </w:pPr>
    <w:r w:rsidRPr="001E66C5">
      <w:rPr>
        <w:b/>
        <w:sz w:val="16"/>
      </w:rPr>
      <w:t xml:space="preserve">Page </w:t>
    </w:r>
    <w:r w:rsidRPr="001E66C5">
      <w:rPr>
        <w:b/>
        <w:sz w:val="16"/>
      </w:rPr>
      <w:fldChar w:fldCharType="begin"/>
    </w:r>
    <w:r w:rsidRPr="001E66C5">
      <w:rPr>
        <w:b/>
        <w:sz w:val="16"/>
      </w:rPr>
      <w:instrText xml:space="preserve"> PAGE </w:instrText>
    </w:r>
    <w:r w:rsidRPr="001E66C5">
      <w:rPr>
        <w:b/>
        <w:sz w:val="16"/>
      </w:rPr>
      <w:fldChar w:fldCharType="separate"/>
    </w:r>
    <w:r w:rsidR="001E66C5">
      <w:rPr>
        <w:b/>
        <w:noProof/>
        <w:sz w:val="16"/>
      </w:rPr>
      <w:t>1</w:t>
    </w:r>
    <w:r w:rsidRPr="001E66C5">
      <w:rPr>
        <w:b/>
        <w:sz w:val="16"/>
      </w:rPr>
      <w:fldChar w:fldCharType="end"/>
    </w:r>
    <w:r w:rsidRPr="001E66C5">
      <w:rPr>
        <w:b/>
        <w:sz w:val="16"/>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FA16E" w14:textId="77777777" w:rsidR="00FC2E5A" w:rsidRDefault="00FC2E5A">
      <w:r>
        <w:separator/>
      </w:r>
    </w:p>
  </w:footnote>
  <w:footnote w:type="continuationSeparator" w:id="0">
    <w:p w14:paraId="51DADD83" w14:textId="77777777" w:rsidR="00FC2E5A" w:rsidRDefault="00FC2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46654"/>
    <w:multiLevelType w:val="hybridMultilevel"/>
    <w:tmpl w:val="C0308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180E29"/>
    <w:multiLevelType w:val="hybridMultilevel"/>
    <w:tmpl w:val="E7902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991651">
    <w:abstractNumId w:val="1"/>
  </w:num>
  <w:num w:numId="2" w16cid:durableId="44728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FC"/>
    <w:rsid w:val="000462F7"/>
    <w:rsid w:val="00146198"/>
    <w:rsid w:val="001E66C5"/>
    <w:rsid w:val="0020717A"/>
    <w:rsid w:val="003D48FC"/>
    <w:rsid w:val="007531A6"/>
    <w:rsid w:val="00906D53"/>
    <w:rsid w:val="00972931"/>
    <w:rsid w:val="009C7D10"/>
    <w:rsid w:val="00C81703"/>
    <w:rsid w:val="00CA30A7"/>
    <w:rsid w:val="00CB2E0E"/>
    <w:rsid w:val="00D852CC"/>
    <w:rsid w:val="00DB04C9"/>
    <w:rsid w:val="00DD1F91"/>
    <w:rsid w:val="00E92DE6"/>
    <w:rsid w:val="00FC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CFF8D"/>
  <w15:docId w15:val="{767FDCD3-FD1B-43E9-B184-3171E508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3">
    <w:name w:val="heading 3"/>
    <w:basedOn w:val="Normal"/>
    <w:next w:val="Normal"/>
    <w:qFormat/>
    <w:pPr>
      <w:keepNext/>
      <w:widowControl w:val="0"/>
      <w:tabs>
        <w:tab w:val="right" w:pos="10080"/>
      </w:tabs>
      <w:suppressAutoHyphens/>
      <w:jc w:val="right"/>
      <w:outlineLvl w:val="2"/>
    </w:pPr>
    <w:rPr>
      <w:b/>
      <w:snapToGrid w:val="0"/>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paragraph" w:styleId="Footer">
    <w:name w:val="footer"/>
    <w:basedOn w:val="Normal"/>
    <w:pPr>
      <w:tabs>
        <w:tab w:val="center" w:pos="4320"/>
        <w:tab w:val="right" w:pos="8640"/>
      </w:tabs>
    </w:pPr>
  </w:style>
  <w:style w:type="paragraph" w:styleId="BodyTextIndent">
    <w:name w:val="Body Text Indent"/>
    <w:basedOn w:val="Normal"/>
    <w:pPr>
      <w:ind w:left="360"/>
      <w:jc w:val="both"/>
    </w:pPr>
    <w:rPr>
      <w:sz w:val="20"/>
    </w:rPr>
  </w:style>
  <w:style w:type="paragraph" w:styleId="Header">
    <w:name w:val="header"/>
    <w:basedOn w:val="Normal"/>
    <w:pPr>
      <w:tabs>
        <w:tab w:val="center" w:pos="4320"/>
        <w:tab w:val="right" w:pos="8640"/>
      </w:tabs>
    </w:pPr>
  </w:style>
  <w:style w:type="paragraph" w:styleId="BalloonText">
    <w:name w:val="Balloon Text"/>
    <w:basedOn w:val="Normal"/>
    <w:semiHidden/>
    <w:rsid w:val="003D4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CHARITABLE CHOICE 45 CFR PART 54</vt:lpstr>
    </vt:vector>
  </TitlesOfParts>
  <Company>County of Sacramento DHHS</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CHARITABLE CHOICE 45 CFR PART 54</dc:title>
  <dc:creator>W2-336025</dc:creator>
  <cp:lastModifiedBy>Dudley. Preston</cp:lastModifiedBy>
  <cp:revision>2</cp:revision>
  <cp:lastPrinted>2015-11-03T19:57:00Z</cp:lastPrinted>
  <dcterms:created xsi:type="dcterms:W3CDTF">2024-10-04T23:18:00Z</dcterms:created>
  <dcterms:modified xsi:type="dcterms:W3CDTF">2024-10-04T23:18:00Z</dcterms:modified>
</cp:coreProperties>
</file>